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Модели государственно- общественного управления образованием</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1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/Шмачилина-Цибенко Светлана Витальевна/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«Модели государственно-общественного управления образованием»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«Модели государственно-общественного управления образованием».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«Модели государственно-общественного управления образованием»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взаимодействие всех участников образовательного процесса в коллегиальных органах управления, соответствующих целям развития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теорию  и  историю, нормативно-правовые акты создания и функционирования  органов государственно-общественного управления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модели  взаимодействия государства  и  общества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психолого-педагогические  особенности коммуникаций  в  деятельности коллегиальных  органов  управления образованием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и использовать  соответствующие  целям и  условиям деятельности образовательной  организации нормативные  документы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разрабатывать  локальные  акты  при создании  и  функционировании коллегиальных  форм  управления образованием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конкретной  ситуации  действиями, позволяющими осуществлять мониторинг  и  поддержку деятельности  коллегиальных органов управления образованием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Готовность изучать состояние и потенциал управляемой системы и ее макро- и микроокружения путем использования комплекса методов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особенности организации  образовательного процесса на  соответствующем уровне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особенности методов  управления образовательной организацией на соответствующем  уровне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комплекс  методов анализа  организационно-управленческой деятельности  на соответствующем    уровне образования</w:t>
            </w:r>
          </w:p>
        </w:tc>
      </w:tr>
      <w:tr>
        <w:trPr>
          <w:trHeight w:hRule="exact" w:val="395.4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приемами  и инструментарием  экспертизы локальных  актов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  обеспечивающих реализацию  деятельности коллегиальных  органов  управления, способен осуществлять их оценку</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«Модели государственно-общественного управления образованием» относится к обязательной части, является дисциплиной Блока Б1. «Дисциплины (модули)». Модуль "Демократические традиции управления образованием в России и за рубежом"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525.28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 теория становления государственно-общественного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образованием в России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Научные основы проектирования в социальной сфере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развитием системы образования в России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Лучшие практики государственно- общественного управления образованием</w:t>
            </w:r>
          </w:p>
          <w:p>
            <w:pPr>
              <w:jc w:val="center"/>
              <w:spacing w:after="0" w:line="240" w:lineRule="auto"/>
              <w:rPr>
                <w:sz w:val="22"/>
                <w:szCs w:val="22"/>
              </w:rPr>
            </w:pPr>
            <w:r>
              <w:rPr>
                <w:rFonts w:ascii="Times New Roman" w:hAnsi="Times New Roman" w:cs="Times New Roman"/>
                <w:color w:val="#000000"/>
                <w:sz w:val="22"/>
                <w:szCs w:val="22"/>
              </w:rPr>
              <w:t> в России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Проблемы качества современного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Демократические традиции управления в европейском образовании</w:t>
            </w:r>
          </w:p>
          <w:p>
            <w:pPr>
              <w:jc w:val="center"/>
              <w:spacing w:after="0" w:line="240" w:lineRule="auto"/>
              <w:rPr>
                <w:sz w:val="22"/>
                <w:szCs w:val="22"/>
              </w:rPr>
            </w:pPr>
            <w:r>
              <w:rPr>
                <w:rFonts w:ascii="Times New Roman" w:hAnsi="Times New Roman" w:cs="Times New Roman"/>
                <w:color w:val="#000000"/>
                <w:sz w:val="22"/>
                <w:szCs w:val="22"/>
              </w:rPr>
              <w:t> Зарубежный опыт организации государственно -общественного управления образованием</w:t>
            </w:r>
          </w:p>
          <w:p>
            <w:pPr>
              <w:jc w:val="center"/>
              <w:spacing w:after="0" w:line="240" w:lineRule="auto"/>
              <w:rPr>
                <w:sz w:val="22"/>
                <w:szCs w:val="22"/>
              </w:rPr>
            </w:pPr>
            <w:r>
              <w:rPr>
                <w:rFonts w:ascii="Times New Roman" w:hAnsi="Times New Roman" w:cs="Times New Roman"/>
                <w:color w:val="#000000"/>
                <w:sz w:val="22"/>
                <w:szCs w:val="22"/>
              </w:rPr>
              <w:t> Обеспечение информационной открытости школы</w:t>
            </w:r>
          </w:p>
          <w:p>
            <w:pPr>
              <w:jc w:val="center"/>
              <w:spacing w:after="0" w:line="240" w:lineRule="auto"/>
              <w:rPr>
                <w:sz w:val="22"/>
                <w:szCs w:val="22"/>
              </w:rPr>
            </w:pPr>
            <w:r>
              <w:rPr>
                <w:rFonts w:ascii="Times New Roman" w:hAnsi="Times New Roman" w:cs="Times New Roman"/>
                <w:color w:val="#000000"/>
                <w:sz w:val="22"/>
                <w:szCs w:val="22"/>
              </w:rPr>
              <w:t> Общественная оценка качества образования</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051.63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Государственно-общественное управление в сфере образования: сущность,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Моделирование процесса государственно общественного управления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Основные подходы к формированию модели (системы) государственно-общественного управления образовательными учреждениями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Типовые модели системы общественно- государственного управления образованием с участием родительской общественности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 Модели школьного управляющего совета за рубежом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2. Особенности функционирования школьных советов в странах Северной и Западной Европы, Северной Америки.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3. Управляющий совет как ядро системы общественно-государственного управления образовательным учреждением.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4. Модели государственно- общественного управления дошко-льным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5. Модель общественно- активной школы.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220.8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Государственно-общественное управление в сфере образования: сущность, основные понятия.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209.2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Государственно-общественное управление как особый тип управления. Сущест-венные отличия государственно-общественного управления в сфере образования от госу- дарственного управления. Заинтересованные стороны сферы общего образования и их интересы. Понятие «общественность», «общественное» в контексте государственно- общественного управления образованием. Понятие о государственной и общественной составляющих управления. Сквозной и многоуровневый характер государственно- общественного управления образованием. «Сильные» и «слабые» стороны государствен- ной и общественной составляющих управления. Целесообразность объединения «силь-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ных» и минимизации (компенсации) «слабых» сторон в едином государственно- общественном управлении. Мотивация участия общественности в управлении образова- нием. Основные области и «точки входа» общественного участия в управлении образова- нием: участие в выработке образовательной политики, общественного мнения об образо- вании, в формировании и принятии образовательными организациями и системами соци- ального заказа на содержание образования и на формирование образовательных программ и программ развития; участие в ресурсном обеспечении образования, участие в контроле и оценке условий жизнедеятельности образовательных систем и учреждении, хода и результатов образовательного процесса.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Моделирование процесса государственно общественного управления в со- временных условиях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«четырехуровневой структурно-функциональной модели» управления школой, построенной с позиций процессного подхода. Характеристик организационно- педагогической модели процесса перевода Образовательной системы образовательного учреждения в режим самоорганизации. Модель системы управления развитием общеобразовательного учреждения» (СУР ОУ), основанную на цикле Эдварда Деминга. Модели совершенства EFQM и японской премии качества. Модель государственно- общественного управления как особый тип взаимодействия государства и общества</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Основные подходы к формированию модели (системы) государственно- общественного управления образовательными учреждениями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основных взгляда на введение государственно-общественного управления образова- тельным учреждением. Особенности типовой модели системы государственно- общественного управления образовательным учреждением, ее функции. Совокупность внешних и внутренних условий становления и развития модели государственно- общественного управления образовательным учреждением, ее цель и задачи. Стратегиче- ские документы модели, отражающие демократический, государственно-общественный характер управления образованием. Принципы модели государственно-общественного управления образовательным учреждением. Системные эффекты расширения обществен- ного участия в формировании образовательной политики. Ценности, получающие распространение в ходе реализации типовой модели. Организация структуры модели.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Типовые модели системы общественно-государственного управления образованием с участием родительской общественности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механизмы, принципы и подходы, способствующие вовлечению родите-лей (законных представителей) несовершеннолетних обучающихся в процессы формиро- вания, функционирования органов общественно-государственного управления образова- тельной организацией. Задачи Модели. Проблематика развития общественно- государственного управления образованием с участием родительской общественности. Функции системы общественно-государственного управления образованием с участием родительской общественности. Полномочия органа общественно-государственного управления. Субъекты общественно-государственного управления образованием и их взаимодействие. Целесообразные формы функционирования органов общественно- государственного управления образованием. Порядок функционирования органов обще- ственно-государственного управления и его элементы.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1. Модели школьного управляющего совета за рубежом (Круглый стол).</w:t>
            </w:r>
          </w:p>
        </w:tc>
      </w:tr>
      <w:tr>
        <w:trPr>
          <w:trHeight w:hRule="exact" w:val="21.31518"/>
        </w:trPr>
        <w:tc>
          <w:tcPr>
            <w:tcW w:w="9640" w:type="dxa"/>
          </w:tcPr>
          <w:p/>
        </w:tc>
      </w:tr>
      <w:tr>
        <w:trPr>
          <w:trHeight w:hRule="exact" w:val="2269.2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11.	Партиципация, как одна из форм демократии в условиях внутришкольного управления за рубежом, основные характеристики данной модели.</w:t>
            </w:r>
          </w:p>
          <w:p>
            <w:pPr>
              <w:jc w:val="left"/>
              <w:spacing w:after="0" w:line="240" w:lineRule="auto"/>
              <w:rPr>
                <w:sz w:val="24"/>
                <w:szCs w:val="24"/>
              </w:rPr>
            </w:pPr>
            <w:r>
              <w:rPr>
                <w:rFonts w:ascii="Times New Roman" w:hAnsi="Times New Roman" w:cs="Times New Roman"/>
                <w:color w:val="#000000"/>
                <w:sz w:val="24"/>
                <w:szCs w:val="24"/>
              </w:rPr>
              <w:t> 12.	Управляющие советы Великобритании: наличие единого портала для школьных управляющих, институт кураторов для новых членов управляющих советов, использование портфолио школьных управляющих как средства мониторинга и качества их подготовки.</w:t>
            </w:r>
          </w:p>
          <w:p>
            <w:pPr>
              <w:jc w:val="left"/>
              <w:spacing w:after="0" w:line="240" w:lineRule="auto"/>
              <w:rPr>
                <w:sz w:val="24"/>
                <w:szCs w:val="24"/>
              </w:rPr>
            </w:pPr>
            <w:r>
              <w:rPr>
                <w:rFonts w:ascii="Times New Roman" w:hAnsi="Times New Roman" w:cs="Times New Roman"/>
                <w:color w:val="#000000"/>
                <w:sz w:val="24"/>
                <w:szCs w:val="24"/>
              </w:rPr>
              <w:t> 13.	Школьные советы, как актуальное новшество, Франции. Законы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децентрализации во Франции и новые отношения между местными властями и системой образования.</w:t>
            </w:r>
          </w:p>
          <w:p>
            <w:pPr>
              <w:jc w:val="left"/>
              <w:spacing w:after="0" w:line="240" w:lineRule="auto"/>
              <w:rPr>
                <w:sz w:val="24"/>
                <w:szCs w:val="24"/>
              </w:rPr>
            </w:pPr>
            <w:r>
              <w:rPr>
                <w:rFonts w:ascii="Times New Roman" w:hAnsi="Times New Roman" w:cs="Times New Roman"/>
                <w:color w:val="#000000"/>
                <w:sz w:val="24"/>
                <w:szCs w:val="24"/>
              </w:rPr>
              <w:t> 14.	Роль Административного Совета (или управляющего Совета) в школах Франции. Родители как неотъемлемая часть образовательного сообщества современной французской школы, четыре общенациональных объединения родителей общеобразовательных учебных заведений.</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2. Особенности функционирования школьных советов в странах Северной и Западной Европы, Северной Америки. (Круглый стол).</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6.	Школьные управления коммун в Швеции, задачи учреждённых Советов в различных коммунах.</w:t>
            </w:r>
          </w:p>
          <w:p>
            <w:pPr>
              <w:jc w:val="left"/>
              <w:spacing w:after="0" w:line="240" w:lineRule="auto"/>
              <w:rPr>
                <w:sz w:val="24"/>
                <w:szCs w:val="24"/>
              </w:rPr>
            </w:pPr>
            <w:r>
              <w:rPr>
                <w:rFonts w:ascii="Times New Roman" w:hAnsi="Times New Roman" w:cs="Times New Roman"/>
                <w:color w:val="#000000"/>
                <w:sz w:val="24"/>
                <w:szCs w:val="24"/>
              </w:rPr>
              <w:t> 7.	Несколько моделей управляющих школьных советов в Нидерландах.</w:t>
            </w:r>
          </w:p>
          <w:p>
            <w:pPr>
              <w:jc w:val="left"/>
              <w:spacing w:after="0" w:line="240" w:lineRule="auto"/>
              <w:rPr>
                <w:sz w:val="24"/>
                <w:szCs w:val="24"/>
              </w:rPr>
            </w:pPr>
            <w:r>
              <w:rPr>
                <w:rFonts w:ascii="Times New Roman" w:hAnsi="Times New Roman" w:cs="Times New Roman"/>
                <w:color w:val="#000000"/>
                <w:sz w:val="24"/>
                <w:szCs w:val="24"/>
              </w:rPr>
              <w:t> 8.	 Организация деятельности управляющих школьных советов в Канаде.</w:t>
            </w:r>
          </w:p>
          <w:p>
            <w:pPr>
              <w:jc w:val="left"/>
              <w:spacing w:after="0" w:line="240" w:lineRule="auto"/>
              <w:rPr>
                <w:sz w:val="24"/>
                <w:szCs w:val="24"/>
              </w:rPr>
            </w:pPr>
            <w:r>
              <w:rPr>
                <w:rFonts w:ascii="Times New Roman" w:hAnsi="Times New Roman" w:cs="Times New Roman"/>
                <w:color w:val="#000000"/>
                <w:sz w:val="24"/>
                <w:szCs w:val="24"/>
              </w:rPr>
              <w:t> 9.	Специфика школьного управляющего совета в США.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3. Управляющий совет как ядро системы общественно- государственного управления образовательным учреждением.</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Модель формирования управляющего совета.</w:t>
            </w:r>
          </w:p>
          <w:p>
            <w:pPr>
              <w:jc w:val="left"/>
              <w:spacing w:after="0" w:line="240" w:lineRule="auto"/>
              <w:rPr>
                <w:sz w:val="24"/>
                <w:szCs w:val="24"/>
              </w:rPr>
            </w:pPr>
            <w:r>
              <w:rPr>
                <w:rFonts w:ascii="Times New Roman" w:hAnsi="Times New Roman" w:cs="Times New Roman"/>
                <w:color w:val="#000000"/>
                <w:sz w:val="24"/>
                <w:szCs w:val="24"/>
              </w:rPr>
              <w:t> 2.	Управляющий совет как центральное звено системы государственно-общественного управления учреждением.</w:t>
            </w:r>
          </w:p>
          <w:p>
            <w:pPr>
              <w:jc w:val="left"/>
              <w:spacing w:after="0" w:line="240" w:lineRule="auto"/>
              <w:rPr>
                <w:sz w:val="24"/>
                <w:szCs w:val="24"/>
              </w:rPr>
            </w:pPr>
            <w:r>
              <w:rPr>
                <w:rFonts w:ascii="Times New Roman" w:hAnsi="Times New Roman" w:cs="Times New Roman"/>
                <w:color w:val="#000000"/>
                <w:sz w:val="24"/>
                <w:szCs w:val="24"/>
              </w:rPr>
              <w:t> 3.	Основные задачи управляющего совета.</w:t>
            </w:r>
          </w:p>
          <w:p>
            <w:pPr>
              <w:jc w:val="left"/>
              <w:spacing w:after="0" w:line="240" w:lineRule="auto"/>
              <w:rPr>
                <w:sz w:val="24"/>
                <w:szCs w:val="24"/>
              </w:rPr>
            </w:pPr>
            <w:r>
              <w:rPr>
                <w:rFonts w:ascii="Times New Roman" w:hAnsi="Times New Roman" w:cs="Times New Roman"/>
                <w:color w:val="#000000"/>
                <w:sz w:val="24"/>
                <w:szCs w:val="24"/>
              </w:rPr>
              <w:t> 4.	Отличия управляющего совета от попечительских советов, советов школы, других органов самоуправления.</w:t>
            </w:r>
          </w:p>
          <w:p>
            <w:pPr>
              <w:jc w:val="left"/>
              <w:spacing w:after="0" w:line="240" w:lineRule="auto"/>
              <w:rPr>
                <w:sz w:val="24"/>
                <w:szCs w:val="24"/>
              </w:rPr>
            </w:pPr>
            <w:r>
              <w:rPr>
                <w:rFonts w:ascii="Times New Roman" w:hAnsi="Times New Roman" w:cs="Times New Roman"/>
                <w:color w:val="#000000"/>
                <w:sz w:val="24"/>
                <w:szCs w:val="24"/>
              </w:rPr>
              <w:t> 5.	Компетенция управляющего совета.</w:t>
            </w:r>
          </w:p>
          <w:p>
            <w:pPr>
              <w:jc w:val="left"/>
              <w:spacing w:after="0" w:line="240" w:lineRule="auto"/>
              <w:rPr>
                <w:sz w:val="24"/>
                <w:szCs w:val="24"/>
              </w:rPr>
            </w:pPr>
            <w:r>
              <w:rPr>
                <w:rFonts w:ascii="Times New Roman" w:hAnsi="Times New Roman" w:cs="Times New Roman"/>
                <w:color w:val="#000000"/>
                <w:sz w:val="24"/>
                <w:szCs w:val="24"/>
              </w:rPr>
              <w:t> 6.	Функции управляющего совета.</w:t>
            </w:r>
          </w:p>
          <w:p>
            <w:pPr>
              <w:jc w:val="left"/>
              <w:spacing w:after="0" w:line="240" w:lineRule="auto"/>
              <w:rPr>
                <w:sz w:val="24"/>
                <w:szCs w:val="24"/>
              </w:rPr>
            </w:pPr>
            <w:r>
              <w:rPr>
                <w:rFonts w:ascii="Times New Roman" w:hAnsi="Times New Roman" w:cs="Times New Roman"/>
                <w:color w:val="#000000"/>
                <w:sz w:val="24"/>
                <w:szCs w:val="24"/>
              </w:rPr>
              <w:t> 7.	Опыт разработки программ развития школы Управляющим советом.</w:t>
            </w:r>
          </w:p>
          <w:p>
            <w:pPr>
              <w:jc w:val="left"/>
              <w:spacing w:after="0" w:line="240" w:lineRule="auto"/>
              <w:rPr>
                <w:sz w:val="24"/>
                <w:szCs w:val="24"/>
              </w:rPr>
            </w:pPr>
            <w:r>
              <w:rPr>
                <w:rFonts w:ascii="Times New Roman" w:hAnsi="Times New Roman" w:cs="Times New Roman"/>
                <w:color w:val="#000000"/>
                <w:sz w:val="24"/>
                <w:szCs w:val="24"/>
              </w:rPr>
              <w:t> 8.	Основные проекты, реализуемые под руководством Управляющего совета школой.</w:t>
            </w:r>
          </w:p>
          <w:p>
            <w:pPr>
              <w:jc w:val="left"/>
              <w:spacing w:after="0" w:line="240" w:lineRule="auto"/>
              <w:rPr>
                <w:sz w:val="24"/>
                <w:szCs w:val="24"/>
              </w:rPr>
            </w:pPr>
            <w:r>
              <w:rPr>
                <w:rFonts w:ascii="Times New Roman" w:hAnsi="Times New Roman" w:cs="Times New Roman"/>
                <w:color w:val="#000000"/>
                <w:sz w:val="24"/>
                <w:szCs w:val="24"/>
              </w:rPr>
              <w:t> 9.	Корпоративная культура членов управляющего совета.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4. Модели государственно-общественного управления дошко- льным образованием</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Проектный подход в государственно-общественном управлении муниципальной системой образования в секторе дошкольного образования.</w:t>
            </w:r>
          </w:p>
          <w:p>
            <w:pPr>
              <w:jc w:val="left"/>
              <w:spacing w:after="0" w:line="240" w:lineRule="auto"/>
              <w:rPr>
                <w:sz w:val="24"/>
                <w:szCs w:val="24"/>
              </w:rPr>
            </w:pPr>
            <w:r>
              <w:rPr>
                <w:rFonts w:ascii="Times New Roman" w:hAnsi="Times New Roman" w:cs="Times New Roman"/>
                <w:color w:val="#000000"/>
                <w:sz w:val="24"/>
                <w:szCs w:val="24"/>
              </w:rPr>
              <w:t> 2.	Управляющий совет дошкольной образовательной организации.</w:t>
            </w:r>
          </w:p>
          <w:p>
            <w:pPr>
              <w:jc w:val="left"/>
              <w:spacing w:after="0" w:line="240" w:lineRule="auto"/>
              <w:rPr>
                <w:sz w:val="24"/>
                <w:szCs w:val="24"/>
              </w:rPr>
            </w:pPr>
            <w:r>
              <w:rPr>
                <w:rFonts w:ascii="Times New Roman" w:hAnsi="Times New Roman" w:cs="Times New Roman"/>
                <w:color w:val="#000000"/>
                <w:sz w:val="24"/>
                <w:szCs w:val="24"/>
              </w:rPr>
              <w:t> 3.	Наблюдательный совет в дошкольной образовательной организации.</w:t>
            </w:r>
          </w:p>
          <w:p>
            <w:pPr>
              <w:jc w:val="left"/>
              <w:spacing w:after="0" w:line="240" w:lineRule="auto"/>
              <w:rPr>
                <w:sz w:val="24"/>
                <w:szCs w:val="24"/>
              </w:rPr>
            </w:pPr>
            <w:r>
              <w:rPr>
                <w:rFonts w:ascii="Times New Roman" w:hAnsi="Times New Roman" w:cs="Times New Roman"/>
                <w:color w:val="#000000"/>
                <w:sz w:val="24"/>
                <w:szCs w:val="24"/>
              </w:rPr>
              <w:t> 4.	Попечительские советы дошкольных образовательных организаций.</w:t>
            </w:r>
          </w:p>
          <w:p>
            <w:pPr>
              <w:jc w:val="left"/>
              <w:spacing w:after="0" w:line="240" w:lineRule="auto"/>
              <w:rPr>
                <w:sz w:val="24"/>
                <w:szCs w:val="24"/>
              </w:rPr>
            </w:pPr>
            <w:r>
              <w:rPr>
                <w:rFonts w:ascii="Times New Roman" w:hAnsi="Times New Roman" w:cs="Times New Roman"/>
                <w:color w:val="#000000"/>
                <w:sz w:val="24"/>
                <w:szCs w:val="24"/>
              </w:rPr>
              <w:t> 5.	Частно-государственное и социальное партнерство в секторе дошкольного образования.</w:t>
            </w:r>
          </w:p>
          <w:p>
            <w:pPr>
              <w:jc w:val="left"/>
              <w:spacing w:after="0" w:line="240" w:lineRule="auto"/>
              <w:rPr>
                <w:sz w:val="24"/>
                <w:szCs w:val="24"/>
              </w:rPr>
            </w:pPr>
            <w:r>
              <w:rPr>
                <w:rFonts w:ascii="Times New Roman" w:hAnsi="Times New Roman" w:cs="Times New Roman"/>
                <w:color w:val="#000000"/>
                <w:sz w:val="24"/>
                <w:szCs w:val="24"/>
              </w:rPr>
              <w:t> 6.	Благотворительные фонды попечительства об образовании.</w:t>
            </w:r>
          </w:p>
          <w:p>
            <w:pPr>
              <w:jc w:val="left"/>
              <w:spacing w:after="0" w:line="240" w:lineRule="auto"/>
              <w:rPr>
                <w:sz w:val="24"/>
                <w:szCs w:val="24"/>
              </w:rPr>
            </w:pPr>
            <w:r>
              <w:rPr>
                <w:rFonts w:ascii="Times New Roman" w:hAnsi="Times New Roman" w:cs="Times New Roman"/>
                <w:color w:val="#000000"/>
                <w:sz w:val="24"/>
                <w:szCs w:val="24"/>
              </w:rPr>
              <w:t> 7.	Механизмы реализации модели государственно-общественного управления дошкольным образованием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5. Модель общественно-активной школы. Круглый стол.</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Основные направления деятельности в рамках реализации модели общественно- активной школы.</w:t>
            </w:r>
          </w:p>
          <w:p>
            <w:pPr>
              <w:jc w:val="left"/>
              <w:spacing w:after="0" w:line="240" w:lineRule="auto"/>
              <w:rPr>
                <w:sz w:val="24"/>
                <w:szCs w:val="24"/>
              </w:rPr>
            </w:pPr>
            <w:r>
              <w:rPr>
                <w:rFonts w:ascii="Times New Roman" w:hAnsi="Times New Roman" w:cs="Times New Roman"/>
                <w:color w:val="#000000"/>
                <w:sz w:val="24"/>
                <w:szCs w:val="24"/>
              </w:rPr>
              <w:t> 2.	Преимуществами ОАШ в различных сферах.</w:t>
            </w:r>
          </w:p>
          <w:p>
            <w:pPr>
              <w:jc w:val="left"/>
              <w:spacing w:after="0" w:line="240" w:lineRule="auto"/>
              <w:rPr>
                <w:sz w:val="24"/>
                <w:szCs w:val="24"/>
              </w:rPr>
            </w:pPr>
            <w:r>
              <w:rPr>
                <w:rFonts w:ascii="Times New Roman" w:hAnsi="Times New Roman" w:cs="Times New Roman"/>
                <w:color w:val="#000000"/>
                <w:sz w:val="24"/>
                <w:szCs w:val="24"/>
              </w:rPr>
              <w:t> 3.	Возможности модели общественно-активной школы.</w:t>
            </w:r>
          </w:p>
          <w:p>
            <w:pPr>
              <w:jc w:val="left"/>
              <w:spacing w:after="0" w:line="240" w:lineRule="auto"/>
              <w:rPr>
                <w:sz w:val="24"/>
                <w:szCs w:val="24"/>
              </w:rPr>
            </w:pPr>
            <w:r>
              <w:rPr>
                <w:rFonts w:ascii="Times New Roman" w:hAnsi="Times New Roman" w:cs="Times New Roman"/>
                <w:color w:val="#000000"/>
                <w:sz w:val="24"/>
                <w:szCs w:val="24"/>
              </w:rPr>
              <w:t> 4.	Методика по самооцениванию «Деятельности общественно-активных школ».</w:t>
            </w:r>
          </w:p>
          <w:p>
            <w:pPr>
              <w:jc w:val="left"/>
              <w:spacing w:after="0" w:line="240" w:lineRule="auto"/>
              <w:rPr>
                <w:sz w:val="24"/>
                <w:szCs w:val="24"/>
              </w:rPr>
            </w:pPr>
            <w:r>
              <w:rPr>
                <w:rFonts w:ascii="Times New Roman" w:hAnsi="Times New Roman" w:cs="Times New Roman"/>
                <w:color w:val="#000000"/>
                <w:sz w:val="24"/>
                <w:szCs w:val="24"/>
              </w:rPr>
              <w:t> 5.	Критерии и показатели «Деятельности общественно-активных школ».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«Модели государственно-общественного управления образованием» / Шмачилина-Цибенко Светлана Витальевна.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оценочных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практикоориентированного</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Быстрова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978-5-534-08089-6.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https://urait.ru/bcode/473319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востребованность</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https://urait.ru/bcode/473797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Интеграция</w:t>
            </w:r>
            <w:r>
              <w:rPr/>
              <w:t xml:space="preserve"> </w:t>
            </w:r>
            <w:r>
              <w:rPr>
                <w:rFonts w:ascii="Times New Roman" w:hAnsi="Times New Roman" w:cs="Times New Roman"/>
                <w:color w:val="#000000"/>
                <w:sz w:val="24"/>
                <w:szCs w:val="24"/>
              </w:rPr>
              <w:t>университетской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Шереги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978-5-534-10798-2.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https://urait.ru/bcode/474014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Купряшин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978-5-534-14002-6.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https://urait.ru/bcode/467459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978-5-534-00153-2.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https://urait.ru/bcode/471526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внутришкольного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(Public</w:t>
            </w:r>
            <w:r>
              <w:rPr/>
              <w:t xml:space="preserve"> </w:t>
            </w:r>
            <w:r>
              <w:rPr>
                <w:rFonts w:ascii="Times New Roman" w:hAnsi="Times New Roman" w:cs="Times New Roman"/>
                <w:color w:val="#000000"/>
                <w:sz w:val="24"/>
                <w:szCs w:val="24"/>
              </w:rPr>
              <w:t>Administration)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Денисова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Меркурьева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Рассказов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Рубцова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Санжимитупова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https://urait.ru/bcode/469345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5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2023-2024_ФГОС3++2023_Маг-ЗФО-ПО(ГОУО)(23)_plx_Модели государственно-общественного управления образованием</dc:title>
  <dc:creator>FastReport.NET</dc:creator>
</cp:coreProperties>
</file>